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27837C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1051">
        <w:rPr>
          <w:rFonts w:cs="Arial"/>
          <w:bCs/>
          <w:sz w:val="28"/>
        </w:rPr>
        <w:t>#104</w:t>
      </w:r>
      <w:r w:rsidR="00933142">
        <w:rPr>
          <w:rFonts w:cs="Arial"/>
          <w:bCs/>
          <w:sz w:val="28"/>
        </w:rPr>
        <w:t>-bis-</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4A5073">
        <w:rPr>
          <w:rFonts w:eastAsia="MS Mincho" w:cs="Arial"/>
          <w:bCs/>
          <w:sz w:val="28"/>
          <w:szCs w:val="24"/>
          <w:lang w:val="en-US"/>
        </w:rPr>
        <w:t>2751</w:t>
      </w:r>
    </w:p>
    <w:p w14:paraId="6D9A9A80" w14:textId="14DEDA45" w:rsidR="006517D0" w:rsidRPr="009A4147" w:rsidRDefault="0093314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Pr="002148BA">
        <w:rPr>
          <w:rFonts w:cs="Arial"/>
          <w:bCs/>
          <w:sz w:val="28"/>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4CCCA872"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660DCE99" w:rsidR="00BF2247" w:rsidRDefault="004F402C"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BF2247">
        <w:rPr>
          <w:rFonts w:ascii="Times New Roman" w:hAnsi="Times New Roman"/>
          <w:b w:val="0"/>
          <w:bCs/>
          <w:sz w:val="20"/>
          <w:lang w:val="en-US" w:eastAsia="zh-TW"/>
        </w:rPr>
        <w:t>A RAN2</w:t>
      </w:r>
      <w:r w:rsidR="00C87B19" w:rsidRPr="00BF2247">
        <w:rPr>
          <w:rFonts w:ascii="Times New Roman" w:hAnsi="Times New Roman"/>
          <w:b w:val="0"/>
          <w:bCs/>
          <w:sz w:val="20"/>
          <w:lang w:val="en-US" w:eastAsia="zh-TW"/>
        </w:rPr>
        <w:t xml:space="preserve">-led </w:t>
      </w:r>
      <w:r w:rsidRPr="00BF2247">
        <w:rPr>
          <w:rFonts w:ascii="Times New Roman" w:hAnsi="Times New Roman"/>
          <w:b w:val="0"/>
          <w:bCs/>
          <w:sz w:val="20"/>
          <w:lang w:val="en-US" w:eastAsia="zh-TW"/>
        </w:rPr>
        <w:t>Rel-17 Working Item</w:t>
      </w:r>
      <w:r w:rsidR="00C87B19" w:rsidRPr="00BF2247">
        <w:rPr>
          <w:rFonts w:ascii="Times New Roman" w:hAnsi="Times New Roman"/>
          <w:b w:val="0"/>
          <w:bCs/>
          <w:sz w:val="20"/>
          <w:lang w:val="en-US" w:eastAsia="zh-TW"/>
        </w:rPr>
        <w:t xml:space="preserve"> </w:t>
      </w:r>
      <w:r w:rsidRPr="00BF2247">
        <w:rPr>
          <w:rFonts w:ascii="Times New Roman" w:hAnsi="Times New Roman"/>
          <w:b w:val="0"/>
          <w:bCs/>
          <w:sz w:val="20"/>
          <w:lang w:val="en-US" w:eastAsia="zh-TW"/>
        </w:rPr>
        <w:t>on Solutions for NR to support non-terrest</w:t>
      </w:r>
      <w:r w:rsidR="00026858">
        <w:rPr>
          <w:rFonts w:ascii="Times New Roman" w:hAnsi="Times New Roman"/>
          <w:b w:val="0"/>
          <w:bCs/>
          <w:sz w:val="20"/>
          <w:lang w:val="en-US" w:eastAsia="zh-TW"/>
        </w:rPr>
        <w:t>rial networks (NTN) was revised</w:t>
      </w:r>
      <w:r w:rsidRPr="00BF2247">
        <w:rPr>
          <w:rFonts w:ascii="Times New Roman" w:hAnsi="Times New Roman"/>
          <w:b w:val="0"/>
          <w:bCs/>
          <w:sz w:val="20"/>
          <w:lang w:val="en-US" w:eastAsia="zh-TW"/>
        </w:rPr>
        <w:t xml:space="preserve"> </w:t>
      </w:r>
      <w:r w:rsidR="00026858">
        <w:rPr>
          <w:rFonts w:ascii="Times New Roman" w:hAnsi="Times New Roman"/>
          <w:b w:val="0"/>
          <w:bCs/>
          <w:sz w:val="20"/>
          <w:lang w:val="en-US" w:eastAsia="zh-TW"/>
        </w:rPr>
        <w:t>in RAN Plenary #88e</w:t>
      </w:r>
      <w:r w:rsidR="00C87B19" w:rsidRPr="00BF2247">
        <w:rPr>
          <w:rFonts w:ascii="Times New Roman" w:hAnsi="Times New Roman"/>
          <w:b w:val="0"/>
          <w:bCs/>
          <w:sz w:val="20"/>
          <w:lang w:val="en-US" w:eastAsia="zh-TW"/>
        </w:rPr>
        <w:t xml:space="preserve"> [1]. </w:t>
      </w:r>
      <w:r w:rsidR="00FC197A" w:rsidRPr="00BF2247">
        <w:rPr>
          <w:rFonts w:ascii="Times New Roman" w:hAnsi="Times New Roman"/>
          <w:b w:val="0"/>
          <w:bCs/>
          <w:sz w:val="20"/>
          <w:lang w:val="en-US" w:eastAsia="zh-TW"/>
        </w:rPr>
        <w:t>The study item pha</w:t>
      </w:r>
      <w:r w:rsidR="00575BB0" w:rsidRPr="00BF2247">
        <w:rPr>
          <w:rFonts w:ascii="Times New Roman" w:hAnsi="Times New Roman"/>
          <w:b w:val="0"/>
          <w:bCs/>
          <w:sz w:val="20"/>
          <w:lang w:val="en-US" w:eastAsia="zh-TW"/>
        </w:rPr>
        <w:t xml:space="preserve">se has identified </w:t>
      </w:r>
      <w:r w:rsidRPr="00BF2247">
        <w:rPr>
          <w:rFonts w:ascii="Times New Roman" w:hAnsi="Times New Roman"/>
          <w:b w:val="0"/>
          <w:bCs/>
          <w:sz w:val="20"/>
          <w:lang w:val="en-US" w:eastAsia="zh-TW"/>
        </w:rPr>
        <w:t xml:space="preserve">issues and made recommendations on NR timing relationships in a TP to 38.811 agreed in RAN1#99 [2]. </w:t>
      </w:r>
      <w:r w:rsidR="00BF2247" w:rsidRPr="00C00619">
        <w:rPr>
          <w:rFonts w:ascii="Times New Roman" w:hAnsi="Times New Roman"/>
          <w:b w:val="0"/>
          <w:bCs/>
          <w:sz w:val="20"/>
          <w:lang w:val="en-US" w:eastAsia="zh-TW"/>
        </w:rPr>
        <w:t xml:space="preserve">In this contribution, </w:t>
      </w:r>
      <w:r w:rsidR="00BF2247" w:rsidRPr="007A6613">
        <w:rPr>
          <w:rFonts w:ascii="Times New Roman" w:hAnsi="Times New Roman"/>
          <w:b w:val="0"/>
          <w:bCs/>
          <w:sz w:val="20"/>
          <w:lang w:val="en-US" w:eastAsia="zh-TW"/>
        </w:rPr>
        <w:t xml:space="preserve">we </w:t>
      </w:r>
      <w:r w:rsidR="00BF2247">
        <w:rPr>
          <w:rFonts w:ascii="Times New Roman" w:hAnsi="Times New Roman"/>
          <w:b w:val="0"/>
          <w:bCs/>
          <w:sz w:val="20"/>
          <w:lang w:val="en-US" w:eastAsia="zh-TW"/>
        </w:rPr>
        <w:t>make observations and proposals to addr</w:t>
      </w:r>
      <w:r w:rsidR="00420D9E">
        <w:rPr>
          <w:rFonts w:ascii="Times New Roman" w:hAnsi="Times New Roman"/>
          <w:b w:val="0"/>
          <w:bCs/>
          <w:sz w:val="20"/>
          <w:lang w:val="en-US" w:eastAsia="zh-TW"/>
        </w:rPr>
        <w:t>ess issues discussed in RAN1#104</w:t>
      </w:r>
      <w:r w:rsidR="00BF2247">
        <w:rPr>
          <w:rFonts w:ascii="Times New Roman" w:hAnsi="Times New Roman"/>
          <w:b w:val="0"/>
          <w:bCs/>
          <w:sz w:val="20"/>
          <w:lang w:val="en-US" w:eastAsia="zh-TW"/>
        </w:rPr>
        <w:t>e</w:t>
      </w:r>
      <w:r w:rsidR="00420D9E">
        <w:rPr>
          <w:rFonts w:ascii="Times New Roman" w:hAnsi="Times New Roman"/>
          <w:b w:val="0"/>
          <w:bCs/>
          <w:sz w:val="20"/>
          <w:lang w:val="en-US" w:eastAsia="zh-TW"/>
        </w:rPr>
        <w:t xml:space="preserve"> and summarized in FL summary</w:t>
      </w:r>
      <w:r w:rsidR="00BF2247">
        <w:rPr>
          <w:rFonts w:ascii="Times New Roman" w:hAnsi="Times New Roman"/>
          <w:b w:val="0"/>
          <w:bCs/>
          <w:sz w:val="20"/>
          <w:lang w:val="en-US" w:eastAsia="zh-TW"/>
        </w:rPr>
        <w:t xml:space="preserve">  for N</w:t>
      </w:r>
      <w:r w:rsidR="00DB4F29">
        <w:rPr>
          <w:rFonts w:ascii="Times New Roman" w:hAnsi="Times New Roman"/>
          <w:b w:val="0"/>
          <w:bCs/>
          <w:sz w:val="20"/>
          <w:lang w:val="en-US" w:eastAsia="zh-TW"/>
        </w:rPr>
        <w:t>T</w:t>
      </w:r>
      <w:r w:rsidR="00BF2247">
        <w:rPr>
          <w:rFonts w:ascii="Times New Roman" w:hAnsi="Times New Roman"/>
          <w:b w:val="0"/>
          <w:bCs/>
          <w:sz w:val="20"/>
          <w:lang w:val="en-US" w:eastAsia="zh-TW"/>
        </w:rPr>
        <w:t>N timing relationships [3].</w:t>
      </w:r>
    </w:p>
    <w:p w14:paraId="3487CE11" w14:textId="77777777" w:rsidR="007E4A07" w:rsidRDefault="007E4A07" w:rsidP="00117A53">
      <w:pPr>
        <w:pStyle w:val="BodyText"/>
        <w:rPr>
          <w:color w:val="000000"/>
        </w:rPr>
      </w:pPr>
      <w:bookmarkStart w:id="2" w:name="_Ref481671177"/>
    </w:p>
    <w:p w14:paraId="2E024E05" w14:textId="50397390" w:rsidR="008E3B67" w:rsidRPr="008E3B67" w:rsidRDefault="008E3B67" w:rsidP="008E3B67">
      <w:pPr>
        <w:pStyle w:val="Heading1"/>
        <w:rPr>
          <w:rFonts w:cs="Arial"/>
        </w:rPr>
      </w:pPr>
      <w:r w:rsidRPr="008E3B67">
        <w:rPr>
          <w:rFonts w:cs="Arial"/>
        </w:rPr>
        <w:t>MAC CE command timing relationship</w:t>
      </w:r>
    </w:p>
    <w:p w14:paraId="34E5CAA3" w14:textId="77777777" w:rsidR="00247C92" w:rsidRDefault="00247C92" w:rsidP="008E3B67">
      <w:pPr>
        <w:pStyle w:val="BodyText"/>
      </w:pPr>
      <w:r>
        <w:t>This section addresses Issue #4</w:t>
      </w:r>
      <w:r w:rsidR="008E3B67">
        <w:t xml:space="preserve"> </w:t>
      </w:r>
      <w:r w:rsidR="00A732F6">
        <w:t>in FL summary</w:t>
      </w:r>
      <w:r w:rsidR="003A61D9" w:rsidRPr="003A61D9">
        <w:t xml:space="preserve"> in [3].</w:t>
      </w:r>
      <w:r w:rsidR="003A61D9">
        <w:t xml:space="preserve"> </w:t>
      </w:r>
      <w:r>
        <w:t>In RAN1#104</w:t>
      </w:r>
      <w:r w:rsidR="008E3B67">
        <w:t>e</w:t>
      </w:r>
      <w:r>
        <w:t>, moderator made the following recommendation:</w:t>
      </w:r>
    </w:p>
    <w:p w14:paraId="062FEEE9" w14:textId="77777777" w:rsidR="00247C92" w:rsidRPr="00247C92" w:rsidRDefault="00247C92" w:rsidP="00247C92">
      <w:pPr>
        <w:pStyle w:val="ListParagraph"/>
        <w:numPr>
          <w:ilvl w:val="0"/>
          <w:numId w:val="13"/>
        </w:numPr>
        <w:rPr>
          <w:i/>
          <w:lang w:eastAsia="x-none"/>
        </w:rPr>
      </w:pPr>
      <w:r w:rsidRPr="00247C92">
        <w:rPr>
          <w:i/>
          <w:lang w:eastAsia="x-none"/>
        </w:rPr>
        <w:t>Companies are encouraged to provide input to RAN1#104bis-e on whether to prioritize NTN designs that support systems where DL and UL are aligned at the gNB.</w:t>
      </w:r>
    </w:p>
    <w:p w14:paraId="40D11F44" w14:textId="27EC20BD" w:rsidR="004A5073" w:rsidRDefault="004A5073" w:rsidP="004A5073">
      <w:pPr>
        <w:rPr>
          <w:bCs/>
        </w:rPr>
      </w:pPr>
      <w:r>
        <w:rPr>
          <w:bCs/>
        </w:rPr>
        <w:t xml:space="preserve">RAN1#103e made agreement </w:t>
      </w:r>
    </w:p>
    <w:p w14:paraId="4DECFF5C" w14:textId="31A95184" w:rsidR="004A5073" w:rsidRPr="004A5073" w:rsidRDefault="004A5073" w:rsidP="004A5073">
      <w:pPr>
        <w:rPr>
          <w:bCs/>
          <w:i/>
        </w:rPr>
      </w:pPr>
      <w:r w:rsidRPr="004A5073">
        <w:rPr>
          <w:i/>
          <w:lang w:eastAsia="x-none"/>
        </w:rPr>
        <w:t>Denote by K_mac a scheduling offset other than K_offset:</w:t>
      </w:r>
    </w:p>
    <w:p w14:paraId="180D577F" w14:textId="77777777" w:rsidR="004A5073" w:rsidRPr="004A5073" w:rsidRDefault="004A5073" w:rsidP="004A5073">
      <w:pPr>
        <w:numPr>
          <w:ilvl w:val="0"/>
          <w:numId w:val="5"/>
        </w:numPr>
        <w:tabs>
          <w:tab w:val="num" w:pos="360"/>
        </w:tabs>
        <w:spacing w:after="0" w:line="252" w:lineRule="auto"/>
        <w:ind w:left="360"/>
        <w:jc w:val="both"/>
        <w:rPr>
          <w:i/>
          <w:color w:val="000000"/>
          <w:lang w:eastAsia="ko-KR"/>
        </w:rPr>
      </w:pPr>
      <w:r w:rsidRPr="004A5073">
        <w:rPr>
          <w:i/>
          <w:color w:val="000000"/>
          <w:lang w:eastAsia="ko-KR"/>
        </w:rPr>
        <w:t xml:space="preserve">If downlink and uplink frame timing are aligned at gNB: </w:t>
      </w:r>
    </w:p>
    <w:p w14:paraId="52E26C44" w14:textId="77777777" w:rsidR="004A5073" w:rsidRPr="004A5073" w:rsidRDefault="004A5073" w:rsidP="004A5073">
      <w:pPr>
        <w:numPr>
          <w:ilvl w:val="1"/>
          <w:numId w:val="6"/>
        </w:numPr>
        <w:tabs>
          <w:tab w:val="num" w:pos="1080"/>
        </w:tabs>
        <w:spacing w:after="0" w:line="252" w:lineRule="auto"/>
        <w:ind w:left="1080"/>
        <w:jc w:val="both"/>
        <w:rPr>
          <w:i/>
          <w:color w:val="000000"/>
          <w:lang w:eastAsia="ko-KR"/>
        </w:rPr>
      </w:pPr>
      <w:r w:rsidRPr="004A5073">
        <w:rPr>
          <w:i/>
          <w:color w:val="000000"/>
          <w:lang w:eastAsia="ko-KR"/>
        </w:rPr>
        <w:t xml:space="preserve">For UE action and assumption on downlink configuration indicated by a MAC-CE command in PDSCH, K_mac is not needed. </w:t>
      </w:r>
    </w:p>
    <w:p w14:paraId="53605155" w14:textId="77777777" w:rsidR="004A5073" w:rsidRPr="004A5073" w:rsidRDefault="004A5073" w:rsidP="004A5073">
      <w:pPr>
        <w:numPr>
          <w:ilvl w:val="1"/>
          <w:numId w:val="6"/>
        </w:numPr>
        <w:tabs>
          <w:tab w:val="num" w:pos="1080"/>
        </w:tabs>
        <w:spacing w:after="0" w:line="252" w:lineRule="auto"/>
        <w:ind w:left="1080"/>
        <w:jc w:val="both"/>
        <w:rPr>
          <w:i/>
          <w:color w:val="000000"/>
          <w:lang w:eastAsia="ko-KR"/>
        </w:rPr>
      </w:pPr>
      <w:r w:rsidRPr="004A5073">
        <w:rPr>
          <w:i/>
          <w:color w:val="000000"/>
          <w:lang w:eastAsia="ko-KR"/>
        </w:rPr>
        <w:t>For UE action and assumption on uplink configuration indicated by a MAC-CE command in PDSCH, K_mac is not needed.</w:t>
      </w:r>
    </w:p>
    <w:p w14:paraId="541C3CD6" w14:textId="77777777" w:rsidR="004A5073" w:rsidRDefault="004A5073" w:rsidP="008E3B67">
      <w:pPr>
        <w:rPr>
          <w:bCs/>
        </w:rPr>
      </w:pPr>
    </w:p>
    <w:p w14:paraId="6CB7D154" w14:textId="6D92F294" w:rsidR="00AD21FA" w:rsidRDefault="00160EE9" w:rsidP="008E3B67">
      <w:pPr>
        <w:rPr>
          <w:bCs/>
        </w:rPr>
      </w:pPr>
      <w:r>
        <w:rPr>
          <w:bCs/>
        </w:rPr>
        <w:t>W</w:t>
      </w:r>
      <w:r w:rsidR="004A5073">
        <w:rPr>
          <w:bCs/>
        </w:rPr>
        <w:t xml:space="preserve">hat needs to be discussed is the common TA which </w:t>
      </w:r>
      <w:r>
        <w:rPr>
          <w:bCs/>
        </w:rPr>
        <w:t>is</w:t>
      </w:r>
      <w:r w:rsidR="004A5073">
        <w:rPr>
          <w:bCs/>
        </w:rPr>
        <w:t xml:space="preserve"> not constant for DL-UL subframe timing alignment at the gNB. The UE will need to get indication on common TA in NTN SIB at time n  and predict and pre-compensate the change in common TA </w:t>
      </w:r>
      <w:r>
        <w:rPr>
          <w:bCs/>
        </w:rPr>
        <w:t xml:space="preserve">for UL transmission </w:t>
      </w:r>
      <w:r w:rsidR="004A5073">
        <w:rPr>
          <w:bCs/>
        </w:rPr>
        <w:t>at time n+K</w:t>
      </w:r>
      <w:r>
        <w:rPr>
          <w:bCs/>
        </w:rPr>
        <w:t>. This discussed in our contribution in AI 8.4.2 on “</w:t>
      </w:r>
      <w:r w:rsidRPr="00160EE9">
        <w:rPr>
          <w:bCs/>
        </w:rPr>
        <w:t>Enhancements on UL Time and Frequency Synchronisation for NR-NTN</w:t>
      </w:r>
      <w:r>
        <w:rPr>
          <w:bCs/>
        </w:rPr>
        <w:t xml:space="preserve">” </w:t>
      </w:r>
      <w:r w:rsidR="004A5073">
        <w:rPr>
          <w:bCs/>
        </w:rPr>
        <w:t xml:space="preserve"> [</w:t>
      </w:r>
      <w:r>
        <w:rPr>
          <w:bCs/>
        </w:rPr>
        <w:t>4</w:t>
      </w:r>
      <w:r w:rsidR="004A5073">
        <w:rPr>
          <w:bCs/>
        </w:rPr>
        <w:t xml:space="preserve">].  </w:t>
      </w:r>
    </w:p>
    <w:p w14:paraId="50F64951" w14:textId="77777777" w:rsidR="001A25E9" w:rsidRDefault="001A25E9" w:rsidP="008E3B67">
      <w:pPr>
        <w:rPr>
          <w:bCs/>
        </w:rPr>
      </w:pPr>
    </w:p>
    <w:p w14:paraId="56FAD2B4" w14:textId="05CF390A" w:rsidR="008E3B67" w:rsidRPr="008E3B67" w:rsidRDefault="008E3B67" w:rsidP="008E3B67">
      <w:pPr>
        <w:pStyle w:val="Heading1"/>
        <w:rPr>
          <w:rFonts w:cs="Arial"/>
        </w:rPr>
      </w:pPr>
      <w:r w:rsidRPr="008E3B67">
        <w:rPr>
          <w:rFonts w:cs="Arial"/>
        </w:rPr>
        <w:t>K1/K2 range extension</w:t>
      </w:r>
    </w:p>
    <w:p w14:paraId="0939C234" w14:textId="6A949513" w:rsidR="008E3B67" w:rsidRDefault="006352B8" w:rsidP="008E3B67">
      <w:pPr>
        <w:pStyle w:val="BodyText"/>
        <w:rPr>
          <w:lang w:val="en-US"/>
        </w:rPr>
      </w:pPr>
      <w:r>
        <w:t>This section addresses Issue #7</w:t>
      </w:r>
      <w:r w:rsidR="008E3B67">
        <w:t xml:space="preserve"> </w:t>
      </w:r>
      <w:r w:rsidR="003A61D9">
        <w:t>in [3]</w:t>
      </w:r>
      <w:r w:rsidR="008E3B67">
        <w:t xml:space="preserve">. </w:t>
      </w:r>
      <w:r w:rsidR="008E3B67">
        <w:rPr>
          <w:lang w:val="en-US"/>
        </w:rPr>
        <w:t>The followin</w:t>
      </w:r>
      <w:r>
        <w:rPr>
          <w:lang w:val="en-US"/>
        </w:rPr>
        <w:t>g agreement was made in RAN1#104</w:t>
      </w:r>
      <w:r w:rsidR="00DB6E8B">
        <w:rPr>
          <w:lang w:val="en-US"/>
        </w:rPr>
        <w:t>e</w:t>
      </w:r>
      <w:r w:rsidR="008E3B67">
        <w:rPr>
          <w:lang w:val="en-US"/>
        </w:rPr>
        <w:t>:</w:t>
      </w:r>
    </w:p>
    <w:p w14:paraId="583E9DC4" w14:textId="77777777" w:rsidR="006352B8" w:rsidRPr="006352B8" w:rsidRDefault="006352B8" w:rsidP="006352B8">
      <w:pPr>
        <w:pStyle w:val="BodyText"/>
        <w:numPr>
          <w:ilvl w:val="0"/>
          <w:numId w:val="3"/>
        </w:numPr>
        <w:rPr>
          <w:i/>
          <w:lang w:val="en-US"/>
        </w:rPr>
      </w:pPr>
      <w:r w:rsidRPr="006352B8">
        <w:rPr>
          <w:i/>
          <w:lang w:val="en-US"/>
        </w:rPr>
        <w:t xml:space="preserve">For unpaired spectrum, extend the value range of K1 from (0..15) to (0..31) </w:t>
      </w:r>
    </w:p>
    <w:p w14:paraId="70AECD24" w14:textId="1A7B52CB" w:rsidR="008E3B67" w:rsidRPr="00AA66C9" w:rsidRDefault="006352B8" w:rsidP="006352B8">
      <w:pPr>
        <w:pStyle w:val="BodyText"/>
        <w:numPr>
          <w:ilvl w:val="1"/>
          <w:numId w:val="3"/>
        </w:numPr>
        <w:rPr>
          <w:i/>
          <w:lang w:val="en-US"/>
        </w:rPr>
      </w:pPr>
      <w:r w:rsidRPr="006352B8">
        <w:rPr>
          <w:i/>
          <w:lang w:val="en-US"/>
        </w:rPr>
        <w:t>FFS: Whether there is an impact on the size of the PDSCH-to-HARQ_feedback timing indicator field in DCI.</w:t>
      </w:r>
    </w:p>
    <w:p w14:paraId="613BEB14" w14:textId="4A6640D6" w:rsidR="006352B8" w:rsidRDefault="006352B8" w:rsidP="008E3B67">
      <w:pPr>
        <w:pStyle w:val="BodyText"/>
      </w:pPr>
      <w:r>
        <w:t xml:space="preserve">There is no need to change the </w:t>
      </w:r>
      <w:r w:rsidRPr="006352B8">
        <w:t>size of the PDSCH-to-HARQ_feedback timing indicator field in DCI</w:t>
      </w:r>
      <w:r>
        <w:t xml:space="preserve"> with extend the value of K1 to (0 </w:t>
      </w:r>
      <w:r w:rsidRPr="006352B8">
        <w:t>.</w:t>
      </w:r>
      <w:r>
        <w:t xml:space="preserve">. 31) if 32 HARQ process IDs are supported. </w:t>
      </w:r>
    </w:p>
    <w:p w14:paraId="0BF11F17" w14:textId="224F8F5F" w:rsidR="006352B8" w:rsidRPr="006352B8" w:rsidRDefault="006352B8" w:rsidP="008E3B67">
      <w:pPr>
        <w:pStyle w:val="BodyText"/>
        <w:rPr>
          <w:i/>
        </w:rPr>
      </w:pPr>
      <w:r w:rsidRPr="006352B8">
        <w:rPr>
          <w:b/>
          <w:i/>
        </w:rPr>
        <w:t>Observation 1</w:t>
      </w:r>
      <w:r w:rsidRPr="006352B8">
        <w:rPr>
          <w:i/>
        </w:rPr>
        <w:t xml:space="preserve">: Assuming the maximum supported HARQ process number is up to 32 HARQ processes as agreed in RAN1#102e, it is not necessary to extend the bit size of PDSCH-to-HARQ_feedback timing indicator field in DCI.  </w:t>
      </w:r>
    </w:p>
    <w:p w14:paraId="3C5E42ED" w14:textId="1B750140" w:rsidR="00A95D2B" w:rsidRPr="00106EBB" w:rsidRDefault="006352B8" w:rsidP="00A95D2B">
      <w:pPr>
        <w:pStyle w:val="BodyText"/>
        <w:rPr>
          <w:i/>
          <w:color w:val="000000"/>
        </w:rPr>
      </w:pPr>
      <w:r>
        <w:rPr>
          <w:b/>
          <w:i/>
          <w:color w:val="000000"/>
        </w:rPr>
        <w:t>Proposal 1</w:t>
      </w:r>
      <w:r w:rsidR="00A95D2B" w:rsidRPr="00117A53">
        <w:rPr>
          <w:b/>
          <w:i/>
          <w:color w:val="000000"/>
        </w:rPr>
        <w:t>:</w:t>
      </w:r>
      <w:r w:rsidR="00A95D2B" w:rsidRPr="00117A53">
        <w:rPr>
          <w:i/>
          <w:color w:val="000000"/>
        </w:rPr>
        <w:t xml:space="preserve"> </w:t>
      </w:r>
      <w:r>
        <w:rPr>
          <w:i/>
          <w:color w:val="000000"/>
        </w:rPr>
        <w:t>There is no</w:t>
      </w:r>
      <w:r w:rsidRPr="006352B8">
        <w:rPr>
          <w:i/>
          <w:color w:val="000000"/>
        </w:rPr>
        <w:t xml:space="preserve"> impact on the size of the PDSCH-to-HARQ_feedback timing indicator field in DCI </w:t>
      </w:r>
      <w:r>
        <w:rPr>
          <w:i/>
          <w:color w:val="000000"/>
        </w:rPr>
        <w:t xml:space="preserve">with </w:t>
      </w:r>
      <w:r w:rsidR="00A95D2B">
        <w:rPr>
          <w:i/>
          <w:color w:val="000000"/>
        </w:rPr>
        <w:t>K1 range increased to 32 with indication of INTEGER (0..31</w:t>
      </w:r>
      <w:r w:rsidR="00A95D2B" w:rsidRPr="00AA66C9">
        <w:rPr>
          <w:i/>
          <w:color w:val="000000"/>
        </w:rPr>
        <w:t>)</w:t>
      </w:r>
      <w:r w:rsidR="00A95D2B">
        <w:rPr>
          <w:i/>
          <w:color w:val="000000"/>
        </w:rPr>
        <w:t xml:space="preserve"> in </w:t>
      </w:r>
      <w:r w:rsidR="00A95D2B" w:rsidRPr="00AA31BA">
        <w:rPr>
          <w:i/>
          <w:color w:val="000000"/>
        </w:rPr>
        <w:t xml:space="preserve">dl-DataToUL-ACK </w:t>
      </w:r>
      <w:r w:rsidR="00A95D2B">
        <w:rPr>
          <w:i/>
          <w:color w:val="000000"/>
        </w:rPr>
        <w:t>field in PUCCH-Config.</w:t>
      </w:r>
    </w:p>
    <w:p w14:paraId="140F894E" w14:textId="77777777" w:rsidR="003A61D9" w:rsidRDefault="003A61D9" w:rsidP="00117A53">
      <w:pPr>
        <w:pStyle w:val="BodyText"/>
        <w:rPr>
          <w:color w:val="000000"/>
        </w:rPr>
      </w:pPr>
    </w:p>
    <w:p w14:paraId="620D33B6" w14:textId="7E315863" w:rsidR="00796A75" w:rsidRPr="00796A75" w:rsidRDefault="00796A75" w:rsidP="00796A75">
      <w:pPr>
        <w:pStyle w:val="Heading1"/>
        <w:rPr>
          <w:rFonts w:cs="Arial"/>
        </w:rPr>
      </w:pPr>
      <w:r w:rsidRPr="00796A75">
        <w:rPr>
          <w:rFonts w:cs="Arial"/>
        </w:rPr>
        <w:t>Start of RAR window</w:t>
      </w:r>
    </w:p>
    <w:p w14:paraId="53400BAC" w14:textId="7A13F7D5" w:rsidR="00DB6E8B" w:rsidRDefault="00DB6E8B" w:rsidP="00DB6E8B">
      <w:pPr>
        <w:pStyle w:val="BodyText"/>
        <w:rPr>
          <w:lang w:val="en-US"/>
        </w:rPr>
      </w:pPr>
      <w:r>
        <w:t>This section addresses Issue #10</w:t>
      </w:r>
      <w:r>
        <w:t xml:space="preserve"> in [3]. </w:t>
      </w:r>
      <w:r>
        <w:rPr>
          <w:lang w:val="en-US"/>
        </w:rPr>
        <w:t xml:space="preserve">The following </w:t>
      </w:r>
      <w:r>
        <w:rPr>
          <w:lang w:val="en-US"/>
        </w:rPr>
        <w:t>moderator recommendation</w:t>
      </w:r>
      <w:r>
        <w:rPr>
          <w:lang w:val="en-US"/>
        </w:rPr>
        <w:t xml:space="preserve"> was made in RAN1#104e:</w:t>
      </w:r>
    </w:p>
    <w:p w14:paraId="4BD9C2C4" w14:textId="77777777" w:rsidR="00DB6E8B" w:rsidRPr="00DB6E8B" w:rsidRDefault="00DB6E8B" w:rsidP="00DB6E8B">
      <w:pPr>
        <w:pStyle w:val="BodyText"/>
        <w:rPr>
          <w:i/>
          <w:lang w:val="en-US"/>
        </w:rPr>
      </w:pPr>
      <w:r w:rsidRPr="00DB6E8B">
        <w:rPr>
          <w:i/>
          <w:lang w:val="en-US"/>
        </w:rPr>
        <w:t>On the start of RAR window, companies are encouraged to conduct more investigations and provide input to RAN1#104bis-e, taking into account the following observation:</w:t>
      </w:r>
    </w:p>
    <w:p w14:paraId="6B178ED4" w14:textId="4BF7D6B9" w:rsidR="00DB6E8B" w:rsidRPr="00DB6E8B" w:rsidRDefault="00DB6E8B" w:rsidP="00DB6E8B">
      <w:pPr>
        <w:pStyle w:val="BodyText"/>
        <w:numPr>
          <w:ilvl w:val="0"/>
          <w:numId w:val="13"/>
        </w:numPr>
        <w:rPr>
          <w:i/>
          <w:lang w:val="en-US"/>
        </w:rPr>
      </w:pPr>
      <w:r w:rsidRPr="00DB6E8B">
        <w:rPr>
          <w:i/>
          <w:lang w:val="en-US"/>
        </w:rPr>
        <w:t>UE specific RTT can be used to determine the start of PDCCH monitoring for RAR window, which can be equivalently achieved if the determination of the start of RAR window is based on DL timing.</w:t>
      </w:r>
    </w:p>
    <w:p w14:paraId="623C1D6A" w14:textId="77777777" w:rsidR="00796A75" w:rsidRDefault="00796A75" w:rsidP="00117A53">
      <w:pPr>
        <w:pStyle w:val="BodyText"/>
        <w:rPr>
          <w:color w:val="000000"/>
        </w:rPr>
      </w:pPr>
      <w:r>
        <w:rPr>
          <w:color w:val="000000"/>
        </w:rPr>
        <w:t>The gNB does not know the UE-specific RTT from UE to gNB via satellite relay unless the portion of UE-specific RTT over the service link is reported. This knowledge is not necessary assuming that the common TA corresponding to the portion of UE-specific RTT over the feeder link is broadcast to UE. It should still be further discussed  that</w:t>
      </w:r>
      <w:r w:rsidRPr="00796A75">
        <w:rPr>
          <w:color w:val="000000"/>
        </w:rPr>
        <w:t xml:space="preserve"> the common TA which is not constant</w:t>
      </w:r>
      <w:r>
        <w:rPr>
          <w:color w:val="000000"/>
        </w:rPr>
        <w:t xml:space="preserve"> and would need to be determined in UE as discussed </w:t>
      </w:r>
      <w:r w:rsidRPr="00796A75">
        <w:rPr>
          <w:color w:val="000000"/>
        </w:rPr>
        <w:t>in our contribution in AI 8.4.2 on “Enhancements on UL Time and Frequency Synchronisation for NR-NTN”  [4].</w:t>
      </w:r>
      <w:r>
        <w:rPr>
          <w:color w:val="000000"/>
        </w:rPr>
        <w:t xml:space="preserve"> The UE needs to offset the start of the RAR window by the UE-specific RTT to take into account the RTT following RACH preamble transmission. This avoids un-necessary attempts by UE to detect the RAR before the RACH preamble can reach the gNB and a corresponding RAR scheduled by gNB can reach the device.</w:t>
      </w:r>
    </w:p>
    <w:p w14:paraId="5F5E89DF" w14:textId="1E0456B4" w:rsidR="00796A75" w:rsidRPr="00796A75" w:rsidRDefault="00796A75" w:rsidP="00117A53">
      <w:pPr>
        <w:pStyle w:val="BodyText"/>
        <w:rPr>
          <w:i/>
          <w:color w:val="000000"/>
        </w:rPr>
      </w:pPr>
      <w:r w:rsidRPr="00796A75">
        <w:rPr>
          <w:b/>
          <w:i/>
          <w:color w:val="000000"/>
        </w:rPr>
        <w:t>Proposal 2</w:t>
      </w:r>
      <w:r w:rsidRPr="00796A75">
        <w:rPr>
          <w:i/>
          <w:color w:val="000000"/>
        </w:rPr>
        <w:t xml:space="preserve">: UE specific RTT can be used to determine the start of PDCCH monitoring for RAR window, which can be equivalently achieved if the determination of the start of RAR window is based on DL timing and common </w:t>
      </w:r>
      <w:r>
        <w:rPr>
          <w:i/>
          <w:color w:val="000000"/>
        </w:rPr>
        <w:t>TA corresponding to the portion of UE-specific TA on the feeder link</w:t>
      </w:r>
      <w:r w:rsidRPr="00796A75">
        <w:rPr>
          <w:i/>
          <w:color w:val="000000"/>
        </w:rPr>
        <w:t xml:space="preserve"> is known to the UE.</w:t>
      </w:r>
    </w:p>
    <w:p w14:paraId="42CF20BE" w14:textId="135D57E9" w:rsidR="00796A75" w:rsidRDefault="00796A75" w:rsidP="00117A53">
      <w:pPr>
        <w:pStyle w:val="BodyText"/>
        <w:rPr>
          <w:color w:val="000000"/>
        </w:rPr>
      </w:pPr>
      <w:r>
        <w:rPr>
          <w:color w:val="000000"/>
        </w:rPr>
        <w:t xml:space="preserve"> </w:t>
      </w:r>
    </w:p>
    <w:p w14:paraId="407108EC" w14:textId="13513FDA" w:rsidR="009735B6" w:rsidRPr="009735B6" w:rsidRDefault="009735B6" w:rsidP="009735B6">
      <w:pPr>
        <w:pStyle w:val="Heading1"/>
        <w:rPr>
          <w:rFonts w:cs="Arial"/>
        </w:rPr>
      </w:pPr>
      <w:r w:rsidRPr="009735B6">
        <w:rPr>
          <w:rFonts w:cs="Arial"/>
        </w:rPr>
        <w:t>PDCCH ordered PRACH</w:t>
      </w:r>
    </w:p>
    <w:p w14:paraId="5D6841D9" w14:textId="62CC2F9B" w:rsidR="009735B6" w:rsidRDefault="00DB6E8B" w:rsidP="00117A53">
      <w:pPr>
        <w:pStyle w:val="BodyText"/>
        <w:rPr>
          <w:lang w:val="en-US"/>
        </w:rPr>
      </w:pPr>
      <w:r>
        <w:rPr>
          <w:lang w:val="en-US"/>
        </w:rPr>
        <w:t>This section addresses Issue #11</w:t>
      </w:r>
      <w:r w:rsidR="009735B6" w:rsidRPr="003A61D9">
        <w:rPr>
          <w:lang w:val="en-US"/>
        </w:rPr>
        <w:t xml:space="preserve"> in FL summar</w:t>
      </w:r>
      <w:r w:rsidR="009735B6">
        <w:rPr>
          <w:lang w:val="en-US"/>
        </w:rPr>
        <w:t xml:space="preserve">y </w:t>
      </w:r>
      <w:r w:rsidR="009735B6" w:rsidRPr="003A61D9">
        <w:rPr>
          <w:lang w:val="en-US"/>
        </w:rPr>
        <w:t>in [3].</w:t>
      </w:r>
      <w:r w:rsidR="009735B6">
        <w:rPr>
          <w:lang w:val="en-US"/>
        </w:rPr>
        <w:t xml:space="preserve"> </w:t>
      </w:r>
      <w:r w:rsidRPr="00DB6E8B">
        <w:rPr>
          <w:lang w:val="en-US"/>
        </w:rPr>
        <w:t>The following moderator recommendation was made in RAN1#104e:</w:t>
      </w:r>
      <w:r w:rsidR="009735B6">
        <w:rPr>
          <w:lang w:val="en-US"/>
        </w:rPr>
        <w:t xml:space="preserve"> </w:t>
      </w:r>
    </w:p>
    <w:p w14:paraId="51D35EAF" w14:textId="0A498F1E" w:rsidR="00DB6E8B" w:rsidRPr="00DB6E8B" w:rsidRDefault="00DB6E8B" w:rsidP="00DB6E8B">
      <w:pPr>
        <w:pStyle w:val="BodyText"/>
        <w:numPr>
          <w:ilvl w:val="0"/>
          <w:numId w:val="13"/>
        </w:numPr>
        <w:rPr>
          <w:i/>
          <w:lang w:val="en-US"/>
        </w:rPr>
      </w:pPr>
      <w:r w:rsidRPr="00DB6E8B">
        <w:rPr>
          <w:i/>
          <w:lang w:val="en-US"/>
        </w:rPr>
        <w:t>On PDCCH ordered PRACH timing relationship, interested companies are encouraged to provide input to RAN1#104bis-e, taking into account the fact that network may not know which PRACH occasion is selected by the UE according to UE’s “next available PRACH occasion” and thus would need to perform additional blind detection if enhancement is not introduced.</w:t>
      </w:r>
    </w:p>
    <w:p w14:paraId="250A2894" w14:textId="5EF5CFB1" w:rsidR="00EB0325" w:rsidRDefault="00EB0325" w:rsidP="00117A53">
      <w:pPr>
        <w:pStyle w:val="BodyText"/>
        <w:rPr>
          <w:lang w:val="en-US"/>
        </w:rPr>
      </w:pPr>
      <w:r>
        <w:rPr>
          <w:lang w:val="en-US"/>
        </w:rPr>
        <w:t xml:space="preserve">The maximum differential delay within a cell is 10.3 ms assuming max </w:t>
      </w:r>
      <w:r w:rsidRPr="00EB0325">
        <w:rPr>
          <w:lang w:val="en-US"/>
        </w:rPr>
        <w:t>foot print size (edge to edge) regardless of the elevation angle</w:t>
      </w:r>
      <w:r>
        <w:rPr>
          <w:lang w:val="en-US"/>
        </w:rPr>
        <w:t xml:space="preserve"> of 3500 km (TR 38.821 Table 4.2-2). The gNB can then assume that the maximum ambiguity for the next RO would be upper bounded by 10.3 ms assuming the common TA and further assuming the RTT to the nearest beam edge. It is up to the gNB to configure ROs for PDCCH order RACH. If gNB configure ROs once every 10 ms or so, the ambiguity can be removed all together; if it configure ROs once every 5 ms, then two blind decoding attempts may be needed. Hence, it can be left to the network to configure PDCCH ordered RACH resources to mitigate blind detection attempts at the gNB.</w:t>
      </w:r>
    </w:p>
    <w:p w14:paraId="2A58689D" w14:textId="6294489F" w:rsidR="00EB0325" w:rsidRPr="00EB0325" w:rsidRDefault="00EB0325" w:rsidP="00117A53">
      <w:pPr>
        <w:pStyle w:val="BodyText"/>
        <w:rPr>
          <w:i/>
          <w:lang w:val="en-US"/>
        </w:rPr>
      </w:pPr>
      <w:r w:rsidRPr="00EB0325">
        <w:rPr>
          <w:b/>
          <w:i/>
          <w:lang w:val="en-US"/>
        </w:rPr>
        <w:t>Proposal 3</w:t>
      </w:r>
      <w:r w:rsidRPr="00EB0325">
        <w:rPr>
          <w:i/>
          <w:lang w:val="en-US"/>
        </w:rPr>
        <w:t xml:space="preserve">: Blind detection of PDCCH ordered RACH is supported without new enhancements. </w:t>
      </w:r>
    </w:p>
    <w:p w14:paraId="5775CBF9" w14:textId="77777777" w:rsidR="008D5973" w:rsidRPr="00B06D1E" w:rsidRDefault="008D5973" w:rsidP="0065318B">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032DB94E" w14:textId="77777777" w:rsidR="00F97715" w:rsidRPr="006352B8" w:rsidRDefault="00F97715" w:rsidP="00F97715">
      <w:pPr>
        <w:pStyle w:val="BodyText"/>
        <w:rPr>
          <w:i/>
        </w:rPr>
      </w:pPr>
      <w:r w:rsidRPr="006352B8">
        <w:rPr>
          <w:b/>
          <w:i/>
        </w:rPr>
        <w:t>Observation 1</w:t>
      </w:r>
      <w:r w:rsidRPr="006352B8">
        <w:rPr>
          <w:i/>
        </w:rPr>
        <w:t xml:space="preserve">: Assuming the maximum supported HARQ process number is up to 32 HARQ processes as agreed in RAN1#102e, it is not necessary to extend the bit size of PDSCH-to-HARQ_feedback timing indicator field in DCI.  </w:t>
      </w:r>
    </w:p>
    <w:p w14:paraId="0C2A8EDA" w14:textId="77777777" w:rsidR="00F97715" w:rsidRPr="00106EBB" w:rsidRDefault="00F97715" w:rsidP="00F97715">
      <w:pPr>
        <w:pStyle w:val="BodyText"/>
        <w:rPr>
          <w:i/>
          <w:color w:val="000000"/>
        </w:rPr>
      </w:pPr>
      <w:r>
        <w:rPr>
          <w:b/>
          <w:i/>
          <w:color w:val="000000"/>
        </w:rPr>
        <w:t>Proposal 1</w:t>
      </w:r>
      <w:r w:rsidRPr="00117A53">
        <w:rPr>
          <w:b/>
          <w:i/>
          <w:color w:val="000000"/>
        </w:rPr>
        <w:t>:</w:t>
      </w:r>
      <w:r w:rsidRPr="00117A53">
        <w:rPr>
          <w:i/>
          <w:color w:val="000000"/>
        </w:rPr>
        <w:t xml:space="preserve"> </w:t>
      </w:r>
      <w:r>
        <w:rPr>
          <w:i/>
          <w:color w:val="000000"/>
        </w:rPr>
        <w:t>There is no</w:t>
      </w:r>
      <w:r w:rsidRPr="006352B8">
        <w:rPr>
          <w:i/>
          <w:color w:val="000000"/>
        </w:rPr>
        <w:t xml:space="preserve"> impact on the size of the PDSCH-to-HARQ_feedback timing indicator field in DCI </w:t>
      </w:r>
      <w:r>
        <w:rPr>
          <w:i/>
          <w:color w:val="000000"/>
        </w:rPr>
        <w:t>with K1 range increased to 32 with indication of INTEGER (0..31</w:t>
      </w:r>
      <w:r w:rsidRPr="00AA66C9">
        <w:rPr>
          <w:i/>
          <w:color w:val="000000"/>
        </w:rPr>
        <w:t>)</w:t>
      </w:r>
      <w:r>
        <w:rPr>
          <w:i/>
          <w:color w:val="000000"/>
        </w:rPr>
        <w:t xml:space="preserve"> in </w:t>
      </w:r>
      <w:r w:rsidRPr="00AA31BA">
        <w:rPr>
          <w:i/>
          <w:color w:val="000000"/>
        </w:rPr>
        <w:t xml:space="preserve">dl-DataToUL-ACK </w:t>
      </w:r>
      <w:r>
        <w:rPr>
          <w:i/>
          <w:color w:val="000000"/>
        </w:rPr>
        <w:t>field in PUCCH-Config.</w:t>
      </w:r>
    </w:p>
    <w:p w14:paraId="1EB32BB9" w14:textId="77777777" w:rsidR="00F97715" w:rsidRPr="00796A75" w:rsidRDefault="00F97715" w:rsidP="00F97715">
      <w:pPr>
        <w:pStyle w:val="BodyText"/>
        <w:rPr>
          <w:i/>
          <w:color w:val="000000"/>
        </w:rPr>
      </w:pPr>
      <w:r w:rsidRPr="00796A75">
        <w:rPr>
          <w:b/>
          <w:i/>
          <w:color w:val="000000"/>
        </w:rPr>
        <w:lastRenderedPageBreak/>
        <w:t>Proposal 2</w:t>
      </w:r>
      <w:r w:rsidRPr="00796A75">
        <w:rPr>
          <w:i/>
          <w:color w:val="000000"/>
        </w:rPr>
        <w:t xml:space="preserve">: UE specific RTT can be used to determine the start of PDCCH monitoring for RAR window, which can be equivalently achieved if the determination of the start of RAR window is based on DL timing and common </w:t>
      </w:r>
      <w:r>
        <w:rPr>
          <w:i/>
          <w:color w:val="000000"/>
        </w:rPr>
        <w:t>TA corresponding to the portion of UE-specific TA on the feeder link</w:t>
      </w:r>
      <w:r w:rsidRPr="00796A75">
        <w:rPr>
          <w:i/>
          <w:color w:val="000000"/>
        </w:rPr>
        <w:t xml:space="preserve"> is known to the UE.</w:t>
      </w:r>
    </w:p>
    <w:p w14:paraId="73ADF7AD" w14:textId="77777777" w:rsidR="00F97715" w:rsidRPr="00EB0325" w:rsidRDefault="00F97715" w:rsidP="00F97715">
      <w:pPr>
        <w:pStyle w:val="BodyText"/>
        <w:rPr>
          <w:i/>
          <w:lang w:val="en-US"/>
        </w:rPr>
      </w:pPr>
      <w:r w:rsidRPr="00EB0325">
        <w:rPr>
          <w:b/>
          <w:i/>
          <w:lang w:val="en-US"/>
        </w:rPr>
        <w:t>Proposal 3</w:t>
      </w:r>
      <w:r w:rsidRPr="00EB0325">
        <w:rPr>
          <w:i/>
          <w:lang w:val="en-US"/>
        </w:rPr>
        <w:t xml:space="preserve">: Blind detection of PDCCH ordered RACH is supported without new enhancements. </w:t>
      </w:r>
    </w:p>
    <w:p w14:paraId="368865CE" w14:textId="77777777" w:rsidR="00492E80" w:rsidRPr="00FE0E3F" w:rsidRDefault="00492E80" w:rsidP="00E042FA">
      <w:pPr>
        <w:pStyle w:val="BodyText"/>
        <w:rPr>
          <w:rFonts w:ascii="Arial" w:hAnsi="Arial" w:cs="Arial"/>
          <w:lang w:eastAsia="ko-KR"/>
        </w:rPr>
      </w:pPr>
      <w:bookmarkStart w:id="3" w:name="_GoBack"/>
      <w:bookmarkEnd w:id="3"/>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0A86F8D3" w14:textId="717621CB" w:rsidR="00BF2247" w:rsidRDefault="004A5073" w:rsidP="00BF2247">
      <w:pPr>
        <w:pStyle w:val="ListParagraph"/>
        <w:numPr>
          <w:ilvl w:val="0"/>
          <w:numId w:val="2"/>
        </w:numPr>
        <w:rPr>
          <w:lang w:val="en-US"/>
        </w:rPr>
      </w:pPr>
      <w:r>
        <w:rPr>
          <w:lang w:val="en-US"/>
        </w:rPr>
        <w:t>R1-2102078, Ericsson, RAN1#104</w:t>
      </w:r>
      <w:r w:rsidR="00A97174">
        <w:rPr>
          <w:lang w:val="en-US"/>
        </w:rPr>
        <w:t xml:space="preserve">e, </w:t>
      </w:r>
      <w:r w:rsidR="00BF2247" w:rsidRPr="00986A28">
        <w:rPr>
          <w:lang w:val="en-US"/>
        </w:rPr>
        <w:t xml:space="preserve">FL summary </w:t>
      </w:r>
      <w:r w:rsidR="00BF2247">
        <w:rPr>
          <w:lang w:val="en-US"/>
        </w:rPr>
        <w:t xml:space="preserve">#4 </w:t>
      </w:r>
      <w:r w:rsidR="00BF2247" w:rsidRPr="00986A28">
        <w:rPr>
          <w:lang w:val="en-US"/>
        </w:rPr>
        <w:t xml:space="preserve">for </w:t>
      </w:r>
      <w:r w:rsidR="00BF2247">
        <w:rPr>
          <w:lang w:val="en-US"/>
        </w:rPr>
        <w:t>NT</w:t>
      </w:r>
      <w:r>
        <w:rPr>
          <w:lang w:val="en-US"/>
        </w:rPr>
        <w:t>N Timing relationships, February 2021</w:t>
      </w:r>
    </w:p>
    <w:p w14:paraId="5C04E716" w14:textId="05100496" w:rsidR="0017249D" w:rsidRPr="0017249D" w:rsidRDefault="00131E3D" w:rsidP="00131E3D">
      <w:pPr>
        <w:pStyle w:val="ListParagraph"/>
        <w:numPr>
          <w:ilvl w:val="0"/>
          <w:numId w:val="2"/>
        </w:numPr>
        <w:rPr>
          <w:lang w:val="en-US"/>
        </w:rPr>
      </w:pPr>
      <w:r>
        <w:rPr>
          <w:lang w:val="en-US"/>
        </w:rPr>
        <w:t>R1-2102752</w:t>
      </w:r>
      <w:r w:rsidR="0017249D">
        <w:rPr>
          <w:lang w:val="en-US"/>
        </w:rPr>
        <w:t xml:space="preserve">, MediaTek, </w:t>
      </w:r>
      <w:r w:rsidRPr="00131E3D">
        <w:rPr>
          <w:lang w:val="en-US"/>
        </w:rPr>
        <w:t xml:space="preserve">Enhancements on </w:t>
      </w:r>
      <w:r w:rsidR="00160EE9">
        <w:rPr>
          <w:lang w:val="en-US"/>
        </w:rPr>
        <w:t>UL Time and Frequency Synchroniz</w:t>
      </w:r>
      <w:r w:rsidRPr="00131E3D">
        <w:rPr>
          <w:lang w:val="en-US"/>
        </w:rPr>
        <w:t>ation for NR-NTN</w:t>
      </w:r>
      <w:r w:rsidR="0017249D">
        <w:rPr>
          <w:lang w:val="en-US"/>
        </w:rPr>
        <w:t xml:space="preserve">, </w:t>
      </w:r>
      <w:r>
        <w:rPr>
          <w:lang w:val="en-US"/>
        </w:rPr>
        <w:t>RAN1#104</w:t>
      </w:r>
      <w:r w:rsidR="0017249D">
        <w:rPr>
          <w:lang w:val="en-US"/>
        </w:rPr>
        <w:t xml:space="preserve">e, </w:t>
      </w:r>
      <w:r>
        <w:rPr>
          <w:lang w:val="en-US"/>
        </w:rPr>
        <w:t>February</w:t>
      </w:r>
      <w:r w:rsidR="0017249D">
        <w:rPr>
          <w:lang w:val="en-US"/>
        </w:rPr>
        <w:t xml:space="preserve"> 2021</w:t>
      </w: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C4544" w14:textId="77777777" w:rsidR="00ED027E" w:rsidRDefault="00ED027E">
      <w:r>
        <w:separator/>
      </w:r>
    </w:p>
  </w:endnote>
  <w:endnote w:type="continuationSeparator" w:id="0">
    <w:p w14:paraId="0170C60C" w14:textId="77777777" w:rsidR="00ED027E" w:rsidRDefault="00ED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C77AC" w14:textId="77777777" w:rsidR="00ED027E" w:rsidRDefault="00ED027E">
      <w:r>
        <w:separator/>
      </w:r>
    </w:p>
  </w:footnote>
  <w:footnote w:type="continuationSeparator" w:id="0">
    <w:p w14:paraId="4D7E4B60" w14:textId="77777777" w:rsidR="00ED027E" w:rsidRDefault="00ED0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6851"/>
    <w:multiLevelType w:val="hybridMultilevel"/>
    <w:tmpl w:val="5E40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7C75F8"/>
    <w:multiLevelType w:val="hybridMultilevel"/>
    <w:tmpl w:val="9C94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1"/>
  </w:num>
  <w:num w:numId="5">
    <w:abstractNumId w:val="5"/>
  </w:num>
  <w:num w:numId="6">
    <w:abstractNumId w:val="10"/>
  </w:num>
  <w:num w:numId="7">
    <w:abstractNumId w:val="3"/>
  </w:num>
  <w:num w:numId="8">
    <w:abstractNumId w:val="8"/>
  </w:num>
  <w:num w:numId="9">
    <w:abstractNumId w:val="11"/>
  </w:num>
  <w:num w:numId="10">
    <w:abstractNumId w:val="12"/>
  </w:num>
  <w:num w:numId="11">
    <w:abstractNumId w:val="6"/>
  </w:num>
  <w:num w:numId="12">
    <w:abstractNumId w:val="0"/>
  </w:num>
  <w:num w:numId="13">
    <w:abstractNumId w:val="9"/>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1E3D"/>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0EE9"/>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1271"/>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C92"/>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0D9E"/>
    <w:rsid w:val="0042109B"/>
    <w:rsid w:val="00421F3E"/>
    <w:rsid w:val="00422A70"/>
    <w:rsid w:val="00423C66"/>
    <w:rsid w:val="00424ED4"/>
    <w:rsid w:val="00426F76"/>
    <w:rsid w:val="00427DBF"/>
    <w:rsid w:val="00427FC6"/>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073"/>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DE"/>
    <w:rsid w:val="005873AF"/>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2B8"/>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826"/>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D7AE6"/>
    <w:rsid w:val="006E0979"/>
    <w:rsid w:val="006E30A3"/>
    <w:rsid w:val="006E3251"/>
    <w:rsid w:val="006E4526"/>
    <w:rsid w:val="006E50C9"/>
    <w:rsid w:val="006E6BF4"/>
    <w:rsid w:val="006E6C0F"/>
    <w:rsid w:val="006E7B14"/>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A75"/>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38B2"/>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3142"/>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189C"/>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B6E8B"/>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6812"/>
    <w:rsid w:val="00DF70BB"/>
    <w:rsid w:val="00DF75BF"/>
    <w:rsid w:val="00E006F3"/>
    <w:rsid w:val="00E00C94"/>
    <w:rsid w:val="00E037B3"/>
    <w:rsid w:val="00E042FA"/>
    <w:rsid w:val="00E04577"/>
    <w:rsid w:val="00E046ED"/>
    <w:rsid w:val="00E049F5"/>
    <w:rsid w:val="00E0546C"/>
    <w:rsid w:val="00E0634D"/>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325"/>
    <w:rsid w:val="00EB04FF"/>
    <w:rsid w:val="00EB0BD0"/>
    <w:rsid w:val="00EB1F08"/>
    <w:rsid w:val="00EB5B01"/>
    <w:rsid w:val="00EC01DE"/>
    <w:rsid w:val="00EC14A9"/>
    <w:rsid w:val="00EC29BD"/>
    <w:rsid w:val="00EC2ADA"/>
    <w:rsid w:val="00EC565F"/>
    <w:rsid w:val="00EC6CF4"/>
    <w:rsid w:val="00EC7418"/>
    <w:rsid w:val="00ED027E"/>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715"/>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A4960-F9BC-4EA5-93A8-98B897F6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6875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488</cp:revision>
  <cp:lastPrinted>2017-11-03T15:53:00Z</cp:lastPrinted>
  <dcterms:created xsi:type="dcterms:W3CDTF">2018-08-07T07:16:00Z</dcterms:created>
  <dcterms:modified xsi:type="dcterms:W3CDTF">2021-04-02T21:56:00Z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